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3167D35C" w:rsidR="00050B81" w:rsidRPr="009C6744" w:rsidRDefault="009C6744" w:rsidP="004630BA">
            <w:pPr>
              <w:spacing w:after="0" w:line="240" w:lineRule="auto"/>
              <w:rPr>
                <w:rFonts w:ascii="Calibri" w:eastAsia="Times New Roman" w:hAnsi="Calibri" w:cs="Arial"/>
                <w:b/>
                <w:sz w:val="20"/>
                <w:szCs w:val="20"/>
                <w:lang w:val="en-US"/>
              </w:rPr>
            </w:pPr>
            <w:r>
              <w:rPr>
                <w:rFonts w:ascii="Calibri" w:hAnsi="Calibri" w:cs="Arial"/>
                <w:color w:val="365F91" w:themeColor="accent1" w:themeShade="BF"/>
                <w:sz w:val="20"/>
                <w:szCs w:val="20"/>
                <w:lang w:val="en-US"/>
              </w:rPr>
              <w:t>158</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4208EEA3" w:rsidR="00050B81" w:rsidRPr="001D341B" w:rsidRDefault="009C6744" w:rsidP="009C6744">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5</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44DC2771" w:rsidR="00050B81" w:rsidRPr="00CB1D99" w:rsidRDefault="009C6744" w:rsidP="00BE293A">
            <w:pPr>
              <w:spacing w:after="0" w:line="240" w:lineRule="auto"/>
              <w:rPr>
                <w:rFonts w:ascii="Calibri" w:eastAsia="Times New Roman" w:hAnsi="Calibri" w:cs="Arial"/>
                <w:color w:val="365F91" w:themeColor="accent1" w:themeShade="BF"/>
                <w:sz w:val="20"/>
                <w:szCs w:val="20"/>
              </w:rPr>
            </w:pPr>
            <w:r>
              <w:rPr>
                <w:rFonts w:ascii="Calibri" w:hAnsi="Calibri" w:cs="Arial"/>
                <w:color w:val="365F91" w:themeColor="accent1" w:themeShade="BF"/>
                <w:sz w:val="20"/>
                <w:szCs w:val="20"/>
              </w:rPr>
              <w:t>Γενική Γεωργία και Βιομηχανικά Φυτά</w:t>
            </w:r>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Επιστημονικής Περιοχής</w:t>
            </w:r>
          </w:p>
        </w:tc>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14B39221"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ΝΑΙ (στην Αγγλική γλώσσα)</w:t>
            </w:r>
          </w:p>
        </w:tc>
      </w:tr>
      <w:tr w:rsidR="009F5D89" w:rsidRPr="00BC6B33"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6643E75F" w:rsidR="009F5D89" w:rsidRPr="00144E0A" w:rsidRDefault="00BC6B33" w:rsidP="00144E0A">
            <w:pPr>
              <w:rPr>
                <w:rFonts w:ascii="Calibri" w:hAnsi="Calibri" w:cs="Arial"/>
                <w:color w:val="365F91" w:themeColor="accent1" w:themeShade="BF"/>
                <w:sz w:val="20"/>
                <w:szCs w:val="20"/>
                <w:lang w:val="en-GB"/>
              </w:rPr>
            </w:pPr>
            <w:r w:rsidRPr="00BC6B33">
              <w:rPr>
                <w:rFonts w:ascii="Calibri" w:eastAsia="Times New Roman" w:hAnsi="Calibri" w:cs="Arial"/>
                <w:color w:val="365F91" w:themeColor="accent1" w:themeShade="BF"/>
                <w:sz w:val="20"/>
                <w:szCs w:val="20"/>
                <w:lang w:val="en-GB"/>
              </w:rPr>
              <w:t>http://efp.aua.gr/el/node/760</w:t>
            </w:r>
            <w:bookmarkStart w:id="0" w:name="_GoBack"/>
            <w:bookmarkEnd w:id="0"/>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7DAE931D" w14:textId="2927CCCC" w:rsidR="00C048E5" w:rsidRPr="009D3178" w:rsidRDefault="009F5D89" w:rsidP="00144E0A">
            <w:pPr>
              <w:spacing w:after="0" w:line="240" w:lineRule="auto"/>
              <w:jc w:val="both"/>
              <w:rPr>
                <w:rFonts w:ascii="Calibri" w:eastAsia="Times New Roman" w:hAnsi="Calibri" w:cs="Arial"/>
                <w:color w:val="365F91" w:themeColor="accent1" w:themeShade="BF"/>
                <w:sz w:val="20"/>
                <w:szCs w:val="20"/>
              </w:rPr>
            </w:pPr>
            <w:r w:rsidRPr="009F5D89">
              <w:rPr>
                <w:rFonts w:ascii="Calibri" w:eastAsia="Times New Roman" w:hAnsi="Calibri" w:cs="Arial"/>
                <w:color w:val="365F91" w:themeColor="accent1" w:themeShade="BF"/>
                <w:sz w:val="20"/>
                <w:szCs w:val="20"/>
              </w:rPr>
              <w:t>Με την επιτυχή ολοκλήρωση του μαθήματος οι φοιτητές/</w:t>
            </w:r>
            <w:proofErr w:type="spellStart"/>
            <w:r w:rsidRPr="009F5D89">
              <w:rPr>
                <w:rFonts w:ascii="Calibri" w:eastAsia="Times New Roman" w:hAnsi="Calibri" w:cs="Arial"/>
                <w:color w:val="365F91" w:themeColor="accent1" w:themeShade="BF"/>
                <w:sz w:val="20"/>
                <w:szCs w:val="20"/>
              </w:rPr>
              <w:t>τριες</w:t>
            </w:r>
            <w:proofErr w:type="spellEnd"/>
            <w:r w:rsidRPr="009F5D89">
              <w:rPr>
                <w:rFonts w:ascii="Calibri" w:eastAsia="Times New Roman" w:hAnsi="Calibri" w:cs="Arial"/>
                <w:color w:val="365F91" w:themeColor="accent1" w:themeShade="BF"/>
                <w:sz w:val="20"/>
                <w:szCs w:val="20"/>
              </w:rPr>
              <w:t xml:space="preserve"> θα κατέχουν γενικές και ειδικές γνώσεις που αφορούν </w:t>
            </w:r>
            <w:r w:rsidR="00F360AE">
              <w:rPr>
                <w:rFonts w:ascii="Calibri" w:eastAsia="Times New Roman" w:hAnsi="Calibri" w:cs="Arial"/>
                <w:color w:val="365F91" w:themeColor="accent1" w:themeShade="BF"/>
                <w:sz w:val="20"/>
                <w:szCs w:val="20"/>
              </w:rPr>
              <w:t>στη</w:t>
            </w:r>
            <w:r w:rsidR="00144E0A">
              <w:rPr>
                <w:rFonts w:ascii="Calibri" w:eastAsia="Times New Roman" w:hAnsi="Calibri" w:cs="Arial"/>
                <w:color w:val="365F91" w:themeColor="accent1" w:themeShade="BF"/>
                <w:sz w:val="20"/>
                <w:szCs w:val="20"/>
              </w:rPr>
              <w:t xml:space="preserve"> γεωργία και στη</w:t>
            </w:r>
            <w:r w:rsidR="00F360AE">
              <w:rPr>
                <w:rFonts w:ascii="Calibri" w:eastAsia="Times New Roman" w:hAnsi="Calibri" w:cs="Arial"/>
                <w:color w:val="365F91" w:themeColor="accent1" w:themeShade="BF"/>
                <w:sz w:val="20"/>
                <w:szCs w:val="20"/>
              </w:rPr>
              <w:t xml:space="preserve">ν </w:t>
            </w:r>
            <w:r w:rsidR="00F360AE" w:rsidRPr="00F360AE">
              <w:rPr>
                <w:rFonts w:ascii="Calibri" w:eastAsia="Times New Roman" w:hAnsi="Calibri" w:cs="Arial"/>
                <w:color w:val="365F91" w:themeColor="accent1" w:themeShade="BF"/>
                <w:sz w:val="20"/>
                <w:szCs w:val="20"/>
              </w:rPr>
              <w:t xml:space="preserve">καλλιέργεια των σημαντικότερων από οικονομική άποψη για τη χώρα </w:t>
            </w:r>
            <w:r w:rsidR="00144E0A">
              <w:rPr>
                <w:rFonts w:ascii="Calibri" w:eastAsia="Times New Roman" w:hAnsi="Calibri" w:cs="Arial"/>
                <w:color w:val="365F91" w:themeColor="accent1" w:themeShade="BF"/>
                <w:sz w:val="20"/>
                <w:szCs w:val="20"/>
              </w:rPr>
              <w:t>βιομηχανικών</w:t>
            </w:r>
            <w:r w:rsidR="00F360AE">
              <w:rPr>
                <w:rFonts w:ascii="Calibri" w:eastAsia="Times New Roman" w:hAnsi="Calibri" w:cs="Arial"/>
                <w:color w:val="365F91" w:themeColor="accent1" w:themeShade="BF"/>
                <w:sz w:val="20"/>
                <w:szCs w:val="20"/>
              </w:rPr>
              <w:t xml:space="preserve"> φυτών</w:t>
            </w:r>
            <w:r w:rsidR="00F360AE" w:rsidRPr="00F360AE">
              <w:rPr>
                <w:rFonts w:ascii="Calibri" w:eastAsia="Times New Roman" w:hAnsi="Calibri" w:cs="Arial"/>
                <w:color w:val="365F91" w:themeColor="accent1" w:themeShade="BF"/>
                <w:sz w:val="20"/>
                <w:szCs w:val="20"/>
              </w:rPr>
              <w:t>. Ειδικότερα</w:t>
            </w:r>
            <w:r w:rsidR="00F360AE">
              <w:rPr>
                <w:rFonts w:ascii="Calibri" w:eastAsia="Times New Roman" w:hAnsi="Calibri" w:cs="Arial"/>
                <w:color w:val="365F91" w:themeColor="accent1" w:themeShade="BF"/>
                <w:sz w:val="20"/>
                <w:szCs w:val="20"/>
              </w:rPr>
              <w:t>,</w:t>
            </w:r>
            <w:r w:rsidR="00F360AE" w:rsidRPr="00F360AE">
              <w:rPr>
                <w:rFonts w:ascii="Calibri" w:eastAsia="Times New Roman" w:hAnsi="Calibri" w:cs="Arial"/>
                <w:color w:val="365F91" w:themeColor="accent1" w:themeShade="BF"/>
                <w:sz w:val="20"/>
                <w:szCs w:val="20"/>
              </w:rPr>
              <w:t xml:space="preserve"> το αντικείμενο του μαθήματος είναι η εξοικείωση των φοιτητών σε θεωρητικό και πρακτικό επίπεδο με την υφιστάμενη κατάσταση και τις προοπτικές της παραγωγής και τις τεχνικές της καλλιέργειας με εφαρμογή σύγχρονων</w:t>
            </w:r>
            <w:r w:rsidR="00144E0A">
              <w:rPr>
                <w:rFonts w:ascii="Calibri" w:eastAsia="Times New Roman" w:hAnsi="Calibri" w:cs="Arial"/>
                <w:color w:val="365F91" w:themeColor="accent1" w:themeShade="BF"/>
                <w:sz w:val="20"/>
                <w:szCs w:val="20"/>
              </w:rPr>
              <w:t xml:space="preserve"> τεχνολογιών των φυτών μεγάλης καλλιέργειας</w:t>
            </w:r>
            <w:r w:rsidR="00F360AE" w:rsidRPr="00F360AE">
              <w:rPr>
                <w:rFonts w:ascii="Calibri" w:eastAsia="Times New Roman" w:hAnsi="Calibri" w:cs="Arial"/>
                <w:color w:val="365F91" w:themeColor="accent1" w:themeShade="BF"/>
                <w:sz w:val="20"/>
                <w:szCs w:val="20"/>
              </w:rPr>
              <w:t xml:space="preserve">. Έμφαση δίνεται στις αρχές της ολοκληρωμένης διαχείρισης της παραγωγής και στην εφαρμογή ορθών γεωργικών πρακτικών. Ο φοιτητής αποκτά όλες τις απαραίτητες γνώσεις ώστε ως γεωπόνος αργότερα να μπορεί να βοηθήσει τον Έλληνα παραγωγό στις απαιτήσεις για την παραγωγή ανταγωνιστικών προϊόντων, την εφαρμογή ορθών γεωργικών πρακτικών και την </w:t>
            </w:r>
            <w:proofErr w:type="spellStart"/>
            <w:r w:rsidR="00F360AE" w:rsidRPr="00F360AE">
              <w:rPr>
                <w:rFonts w:ascii="Calibri" w:eastAsia="Times New Roman" w:hAnsi="Calibri" w:cs="Arial"/>
                <w:color w:val="365F91" w:themeColor="accent1" w:themeShade="BF"/>
                <w:sz w:val="20"/>
                <w:szCs w:val="20"/>
              </w:rPr>
              <w:t>αειφορική</w:t>
            </w:r>
            <w:proofErr w:type="spellEnd"/>
            <w:r w:rsidR="00F360AE" w:rsidRPr="00F360AE">
              <w:rPr>
                <w:rFonts w:ascii="Calibri" w:eastAsia="Times New Roman" w:hAnsi="Calibri" w:cs="Arial"/>
                <w:color w:val="365F91" w:themeColor="accent1" w:themeShade="BF"/>
                <w:sz w:val="20"/>
                <w:szCs w:val="20"/>
              </w:rPr>
              <w:t xml:space="preserve"> διαχείριση του αγροτικού περιβάλλοντος</w:t>
            </w: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6E8743D" w:rsid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3CC1A8C5" w14:textId="71CA0861" w:rsidR="00D91595" w:rsidRPr="00F47509" w:rsidRDefault="00144E0A"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lastRenderedPageBreak/>
              <w:t>Αυτόνομη εργασία</w:t>
            </w:r>
          </w:p>
          <w:p w14:paraId="47EC5B3F"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Ομαδική εργασία </w:t>
            </w:r>
          </w:p>
          <w:p w14:paraId="7BCB314A" w14:textId="6DECF89B" w:rsid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Προσαρμογή σε νέες καταστάσεις</w:t>
            </w:r>
          </w:p>
          <w:p w14:paraId="370A5163" w14:textId="31679721" w:rsidR="00641E98" w:rsidRPr="00F47509" w:rsidRDefault="00641E98"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Παραγωγή νέων ερευνητικών ιδεών</w:t>
            </w:r>
          </w:p>
          <w:p w14:paraId="3D2EEB0E" w14:textId="77777777" w:rsidR="00F47509" w:rsidRP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Λήψη αποφάσεων</w:t>
            </w:r>
          </w:p>
          <w:p w14:paraId="280857FB" w14:textId="5FDFC8F0" w:rsidR="00050B81" w:rsidRPr="00050B81" w:rsidRDefault="00F47509" w:rsidP="007A7C95">
            <w:pPr>
              <w:pStyle w:val="ListParagraph"/>
              <w:widowControl w:val="0"/>
              <w:numPr>
                <w:ilvl w:val="0"/>
                <w:numId w:val="6"/>
              </w:numPr>
              <w:autoSpaceDE w:val="0"/>
              <w:autoSpaceDN w:val="0"/>
              <w:adjustRightInd w:val="0"/>
              <w:spacing w:after="0" w:line="240" w:lineRule="auto"/>
              <w:rPr>
                <w:rFonts w:ascii="Calibri" w:eastAsia="Times New Roman" w:hAnsi="Calibri" w:cs="Arial"/>
                <w:i/>
                <w:sz w:val="16"/>
                <w:szCs w:val="16"/>
              </w:rPr>
            </w:pPr>
            <w:r w:rsidRPr="00F47509">
              <w:rPr>
                <w:rFonts w:ascii="Calibri" w:eastAsia="Times New Roman" w:hAnsi="Calibri" w:cs="Arial"/>
                <w:color w:val="365F91" w:themeColor="accent1" w:themeShade="BF"/>
                <w:sz w:val="20"/>
                <w:szCs w:val="20"/>
              </w:rPr>
              <w:t>Προαγωγή της ελεύθερης, δημιουργικής και επαγωγικής σκέψης</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2EFFA93A" w14:textId="35BB8BC1" w:rsidR="00144E0A" w:rsidRPr="00144E0A" w:rsidRDefault="00144E0A" w:rsidP="00144E0A">
            <w:pPr>
              <w:pStyle w:val="ListParagraph"/>
              <w:numPr>
                <w:ilvl w:val="3"/>
                <w:numId w:val="1"/>
              </w:numPr>
              <w:spacing w:after="0" w:line="240" w:lineRule="auto"/>
              <w:ind w:left="318" w:hanging="318"/>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Επιδράσεις μεταβλητών του εναέριου περιβάλλοντος στην ανάπτυξη  </w:t>
            </w:r>
          </w:p>
          <w:p w14:paraId="210BE4BF"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την παραγωγικότητα και την ποιότητα των φυτών μεγάλης καλλιέργειας.  </w:t>
            </w:r>
          </w:p>
          <w:p w14:paraId="6053429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Δυνατότητες  παρεμβάσεων για βελτίωση της φυτικής παραγωγής</w:t>
            </w:r>
          </w:p>
          <w:p w14:paraId="752E4E1A"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i. </w:t>
            </w:r>
            <w:proofErr w:type="spellStart"/>
            <w:r w:rsidRPr="00144E0A">
              <w:rPr>
                <w:rFonts w:ascii="Calibri" w:eastAsia="Times New Roman" w:hAnsi="Calibri" w:cs="Arial"/>
                <w:color w:val="365F91" w:themeColor="accent1" w:themeShade="BF"/>
                <w:sz w:val="20"/>
                <w:szCs w:val="20"/>
              </w:rPr>
              <w:t>Hλιακή</w:t>
            </w:r>
            <w:proofErr w:type="spellEnd"/>
            <w:r w:rsidRPr="00144E0A">
              <w:rPr>
                <w:rFonts w:ascii="Calibri" w:eastAsia="Times New Roman" w:hAnsi="Calibri" w:cs="Arial"/>
                <w:color w:val="365F91" w:themeColor="accent1" w:themeShade="BF"/>
                <w:sz w:val="20"/>
                <w:szCs w:val="20"/>
              </w:rPr>
              <w:t xml:space="preserve"> ακτινοβολία</w:t>
            </w:r>
          </w:p>
          <w:p w14:paraId="0C7744F1"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ii</w:t>
            </w:r>
            <w:proofErr w:type="spellEnd"/>
            <w:r w:rsidRPr="00144E0A">
              <w:rPr>
                <w:rFonts w:ascii="Calibri" w:eastAsia="Times New Roman" w:hAnsi="Calibri" w:cs="Arial"/>
                <w:color w:val="365F91" w:themeColor="accent1" w:themeShade="BF"/>
                <w:sz w:val="20"/>
                <w:szCs w:val="20"/>
              </w:rPr>
              <w:t>. Θερμοκρασία</w:t>
            </w:r>
          </w:p>
          <w:p w14:paraId="569C910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4F741A8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2.     Επιδράσεις μεταβλητών του εναέριου περιβάλλοντος στην ανάπτυξη  </w:t>
            </w:r>
          </w:p>
          <w:p w14:paraId="342A58E1"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την παραγωγικότητα και την ποιότητα των φυτών μεγάλης καλλιέργειας.  </w:t>
            </w:r>
          </w:p>
          <w:p w14:paraId="57A06D2E"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Δυνατότητες  παρεμβάσεων για βελτίωση της φυτικής παραγωγής</w:t>
            </w:r>
          </w:p>
          <w:p w14:paraId="4089557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iii</w:t>
            </w:r>
            <w:proofErr w:type="spellEnd"/>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Yγρασία</w:t>
            </w:r>
            <w:proofErr w:type="spellEnd"/>
          </w:p>
          <w:p w14:paraId="6FA01183"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iv</w:t>
            </w:r>
            <w:proofErr w:type="spellEnd"/>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Aνεμος</w:t>
            </w:r>
            <w:proofErr w:type="spellEnd"/>
          </w:p>
          <w:p w14:paraId="6ACCCEA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v. </w:t>
            </w:r>
            <w:proofErr w:type="spellStart"/>
            <w:r w:rsidRPr="00144E0A">
              <w:rPr>
                <w:rFonts w:ascii="Calibri" w:eastAsia="Times New Roman" w:hAnsi="Calibri" w:cs="Arial"/>
                <w:color w:val="365F91" w:themeColor="accent1" w:themeShade="BF"/>
                <w:sz w:val="20"/>
                <w:szCs w:val="20"/>
              </w:rPr>
              <w:t>Eξατμισοικανότητα</w:t>
            </w:r>
            <w:proofErr w:type="spellEnd"/>
            <w:r w:rsidRPr="00144E0A">
              <w:rPr>
                <w:rFonts w:ascii="Calibri" w:eastAsia="Times New Roman" w:hAnsi="Calibri" w:cs="Arial"/>
                <w:color w:val="365F91" w:themeColor="accent1" w:themeShade="BF"/>
                <w:sz w:val="20"/>
                <w:szCs w:val="20"/>
              </w:rPr>
              <w:t xml:space="preserve"> της ατμόσφαιρας</w:t>
            </w:r>
          </w:p>
          <w:p w14:paraId="4E2053C0"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vi</w:t>
            </w:r>
            <w:proofErr w:type="spellEnd"/>
            <w:r w:rsidRPr="00144E0A">
              <w:rPr>
                <w:rFonts w:ascii="Calibri" w:eastAsia="Times New Roman" w:hAnsi="Calibri" w:cs="Arial"/>
                <w:color w:val="365F91" w:themeColor="accent1" w:themeShade="BF"/>
                <w:sz w:val="20"/>
                <w:szCs w:val="20"/>
              </w:rPr>
              <w:t xml:space="preserve">. Συγκέντρωση του διοξειδίου του άνθρακα </w:t>
            </w:r>
          </w:p>
          <w:p w14:paraId="4939D56D"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
          <w:p w14:paraId="4ABD86EC"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3.    Επιδράσεις μεταβλητών του εδαφικού περιβάλλοντος στην παραγωγικότητα   </w:t>
            </w:r>
          </w:p>
          <w:p w14:paraId="63EDDAC8"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των   φυτών μεγάλης καλλιέργειας και στην ποιότητα των παραγόμενων προϊόντων.    </w:t>
            </w:r>
          </w:p>
          <w:p w14:paraId="36EF1CB3"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Παρεμβάσεις για τη βελτίωση της φυτικής παραγωγής. </w:t>
            </w:r>
          </w:p>
          <w:p w14:paraId="0E2CC40A"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i. Επιδράσεις φυσικών, βιολογικών, χημικών χαρακτηριστικών του εδαφικού περιβάλλοντος στην ανάπτυξη και στις αποδόσεις των ΦΜΚ.</w:t>
            </w:r>
          </w:p>
          <w:p w14:paraId="66697245"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roofErr w:type="spellStart"/>
            <w:r w:rsidRPr="00144E0A">
              <w:rPr>
                <w:rFonts w:ascii="Calibri" w:eastAsia="Times New Roman" w:hAnsi="Calibri" w:cs="Arial"/>
                <w:color w:val="365F91" w:themeColor="accent1" w:themeShade="BF"/>
                <w:sz w:val="20"/>
                <w:szCs w:val="20"/>
              </w:rPr>
              <w:t>ii</w:t>
            </w:r>
            <w:proofErr w:type="spellEnd"/>
            <w:r w:rsidRPr="00144E0A">
              <w:rPr>
                <w:rFonts w:ascii="Calibri" w:eastAsia="Times New Roman" w:hAnsi="Calibri" w:cs="Arial"/>
                <w:color w:val="365F91" w:themeColor="accent1" w:themeShade="BF"/>
                <w:sz w:val="20"/>
                <w:szCs w:val="20"/>
              </w:rPr>
              <w:t>. Κατεργασία του εδάφους. Λίπανση. Άρδευση.</w:t>
            </w:r>
          </w:p>
          <w:p w14:paraId="7651BB92"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3895CF91"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4. Συστήματα καλλιέργειας. Εναλλαγή </w:t>
            </w:r>
            <w:proofErr w:type="spellStart"/>
            <w:r w:rsidRPr="00144E0A">
              <w:rPr>
                <w:rFonts w:ascii="Calibri" w:eastAsia="Times New Roman" w:hAnsi="Calibri" w:cs="Arial"/>
                <w:color w:val="365F91" w:themeColor="accent1" w:themeShade="BF"/>
                <w:sz w:val="20"/>
                <w:szCs w:val="20"/>
              </w:rPr>
              <w:t>καλλιερεγειών</w:t>
            </w:r>
            <w:proofErr w:type="spellEnd"/>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Συγκαλλιέργεια</w:t>
            </w:r>
            <w:proofErr w:type="spellEnd"/>
            <w:r w:rsidRPr="00144E0A">
              <w:rPr>
                <w:rFonts w:ascii="Calibri" w:eastAsia="Times New Roman" w:hAnsi="Calibri" w:cs="Arial"/>
                <w:color w:val="365F91" w:themeColor="accent1" w:themeShade="BF"/>
                <w:sz w:val="20"/>
                <w:szCs w:val="20"/>
              </w:rPr>
              <w:t xml:space="preserve">. </w:t>
            </w:r>
          </w:p>
          <w:p w14:paraId="6648CD82"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1200DA48"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5.    Βιομηχανικά Φυτά. Ειδικά καλλιεργητικά θέματα για τη βελτίωση των αποδόσεων και της ποιότητας των καλλιεργειών. </w:t>
            </w:r>
          </w:p>
          <w:p w14:paraId="45C2BEC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i.</w:t>
            </w:r>
            <w:r w:rsidRPr="00144E0A">
              <w:rPr>
                <w:rFonts w:ascii="Calibri" w:eastAsia="Times New Roman" w:hAnsi="Calibri" w:cs="Arial"/>
                <w:color w:val="365F91" w:themeColor="accent1" w:themeShade="BF"/>
                <w:sz w:val="20"/>
                <w:szCs w:val="20"/>
              </w:rPr>
              <w:tab/>
              <w:t>Βαμβάκι - Σκοπός, Τάσεις, Μορφολογία, ποικιλίες. Προσαρμοστικότητα</w:t>
            </w:r>
          </w:p>
          <w:p w14:paraId="5B1D516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6. Βαμβάκι - Καλλιεργητική Τεχνική </w:t>
            </w:r>
          </w:p>
          <w:p w14:paraId="0EC89AFD"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7. Βαμβάκι - Συγκομιδή, αποδόσεις &amp; ποιότητα.</w:t>
            </w:r>
          </w:p>
          <w:p w14:paraId="40EE82B9"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8. Καπνός  Σκοπός, Τάσεις, Μορφολογία, ποικιλίες. Προσαρμοστικότητα,</w:t>
            </w:r>
          </w:p>
          <w:p w14:paraId="1919D07F"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0E60511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9.  Καπνός - Καλλιεργητική Τεχνική  </w:t>
            </w:r>
          </w:p>
          <w:p w14:paraId="20136E45"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247A062A"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10.  Καπνός -  Συγκομιδή, αποδόσεις &amp; ποιότητα.</w:t>
            </w:r>
          </w:p>
          <w:p w14:paraId="784B3C77"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795B9ECF"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11. Ζαχαρότευτλα  Σκοπός, Τάσεις, Μορφολογία, ποικιλίες. Προσαρμοστικότητα,</w:t>
            </w:r>
          </w:p>
          <w:p w14:paraId="4AE8558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4E25C5ED"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12. Ζαχαρότευτλα Καλλιεργητική Τεχνική &amp; Συγκομιδή, αποδόσεις &amp; ποιότητα</w:t>
            </w:r>
          </w:p>
          <w:p w14:paraId="1A27038B"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5F17C877" w14:textId="65B8BE05" w:rsidR="00F360AE" w:rsidRPr="006C33BD" w:rsidRDefault="00144E0A" w:rsidP="00144E0A">
            <w:pPr>
              <w:spacing w:after="0" w:line="240" w:lineRule="auto"/>
              <w:jc w:val="both"/>
              <w:rPr>
                <w:rFonts w:ascii="Calibri" w:eastAsia="Times New Roman" w:hAnsi="Calibri" w:cs="Arial"/>
                <w:color w:val="002060"/>
                <w:sz w:val="20"/>
                <w:szCs w:val="20"/>
              </w:rPr>
            </w:pPr>
            <w:r>
              <w:rPr>
                <w:rFonts w:ascii="Calibri" w:eastAsia="Times New Roman" w:hAnsi="Calibri" w:cs="Arial"/>
                <w:color w:val="365F91" w:themeColor="accent1" w:themeShade="BF"/>
                <w:sz w:val="20"/>
                <w:szCs w:val="20"/>
              </w:rPr>
              <w:t xml:space="preserve">13. </w:t>
            </w:r>
            <w:r w:rsidRPr="00144E0A">
              <w:rPr>
                <w:rFonts w:ascii="Calibri" w:eastAsia="Times New Roman" w:hAnsi="Calibri" w:cs="Arial"/>
                <w:color w:val="365F91" w:themeColor="accent1" w:themeShade="BF"/>
                <w:sz w:val="20"/>
                <w:szCs w:val="20"/>
              </w:rPr>
              <w:t xml:space="preserve">Βιομηχανική τομάτα - Σκοπός, Τάσεις, Μορφολογία, ποικιλίες. Προσαρμοστικότητα. Καλλιεργητική Τεχνική &amp; Συγκομιδή, αποδόσεις &amp; ποιότητα   </w:t>
            </w: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5864BF22" w:rsidR="00050B81" w:rsidRPr="00B25922" w:rsidRDefault="009F5D89" w:rsidP="00144E0A">
            <w:pPr>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Pr>
                <w:rFonts w:ascii="Calibri" w:eastAsia="Times New Roman" w:hAnsi="Calibri" w:cs="Arial"/>
                <w:color w:val="365F91" w:themeColor="accent1" w:themeShade="BF"/>
                <w:sz w:val="20"/>
                <w:szCs w:val="20"/>
              </w:rPr>
              <w:t xml:space="preserve">πρόσωπο με πρόσωπο </w:t>
            </w:r>
            <w:r w:rsidR="00144E0A">
              <w:rPr>
                <w:rFonts w:ascii="Calibri" w:eastAsia="Times New Roman" w:hAnsi="Calibri" w:cs="Arial"/>
                <w:color w:val="365F91" w:themeColor="accent1" w:themeShade="BF"/>
                <w:sz w:val="20"/>
                <w:szCs w:val="20"/>
              </w:rPr>
              <w:t xml:space="preserve">σε αμφιθέατρο </w:t>
            </w:r>
            <w:r w:rsidRPr="009F5D89">
              <w:rPr>
                <w:rFonts w:ascii="Calibri" w:eastAsia="Times New Roman" w:hAnsi="Calibri" w:cs="Arial"/>
                <w:color w:val="365F91" w:themeColor="accent1" w:themeShade="BF"/>
                <w:sz w:val="20"/>
                <w:szCs w:val="20"/>
              </w:rPr>
              <w:t>εξοπλισμέν</w:t>
            </w:r>
            <w:r w:rsidR="00144E0A">
              <w:rPr>
                <w:rFonts w:ascii="Calibri" w:eastAsia="Times New Roman" w:hAnsi="Calibri" w:cs="Arial"/>
                <w:color w:val="365F91" w:themeColor="accent1" w:themeShade="BF"/>
                <w:sz w:val="20"/>
                <w:szCs w:val="20"/>
              </w:rPr>
              <w:t>ο</w:t>
            </w:r>
            <w:r w:rsidRPr="009F5D8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w:t>
            </w:r>
            <w:r w:rsidRPr="009F5D89">
              <w:rPr>
                <w:rFonts w:ascii="Calibri" w:eastAsia="Times New Roman" w:hAnsi="Calibri" w:cs="Arial"/>
                <w:color w:val="365F91" w:themeColor="accent1" w:themeShade="BF"/>
                <w:sz w:val="20"/>
                <w:szCs w:val="20"/>
              </w:rPr>
              <w:t xml:space="preserve"> τον απαραίτητο οπτικοακουστικό εξοπλισμό για την πραγματοποίηση των διαλέξεων και παρουσιάσεων. Το πρακτικό τμήμα της εκμάθησης (</w:t>
            </w:r>
            <w:r>
              <w:rPr>
                <w:rFonts w:ascii="Calibri" w:eastAsia="Times New Roman" w:hAnsi="Calibri" w:cs="Arial"/>
                <w:color w:val="365F91" w:themeColor="accent1" w:themeShade="BF"/>
                <w:sz w:val="20"/>
                <w:szCs w:val="20"/>
              </w:rPr>
              <w:t>εργαστηριακές ασκήσεις</w:t>
            </w:r>
            <w:r w:rsidR="00144E0A">
              <w:rPr>
                <w:rFonts w:ascii="Calibri" w:eastAsia="Times New Roman" w:hAnsi="Calibri" w:cs="Arial"/>
                <w:color w:val="365F91" w:themeColor="accent1" w:themeShade="BF"/>
                <w:sz w:val="20"/>
                <w:szCs w:val="20"/>
              </w:rPr>
              <w:t>) διεξάγεται στις αίθουσες αλλά και στον</w:t>
            </w:r>
            <w:r w:rsidR="00641E98">
              <w:rPr>
                <w:rFonts w:ascii="Calibri" w:eastAsia="Times New Roman" w:hAnsi="Calibri" w:cs="Arial"/>
                <w:color w:val="365F91" w:themeColor="accent1" w:themeShade="BF"/>
                <w:sz w:val="20"/>
                <w:szCs w:val="20"/>
              </w:rPr>
              <w:t xml:space="preserve"> αγρό του Εργαστηρίου Γεωργίας.</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5BDC7480" w:rsidR="009F5D89" w:rsidRPr="003B45BC" w:rsidRDefault="009F5D89" w:rsidP="009F5D89">
                  <w:pPr>
                    <w:jc w:val="center"/>
                    <w:rPr>
                      <w:rFonts w:ascii="Calibri" w:hAnsi="Calibri" w:cs="Arial"/>
                      <w:color w:val="002060"/>
                      <w:lang w:val="el-GR"/>
                    </w:rPr>
                  </w:pPr>
                  <w:r>
                    <w:rPr>
                      <w:rFonts w:ascii="Calibri" w:hAnsi="Calibri" w:cs="Arial"/>
                      <w:color w:val="002060"/>
                      <w:lang w:val="el-GR"/>
                    </w:rPr>
                    <w:t>39</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61C147E2" w:rsidR="009F5D89" w:rsidRPr="003B45BC" w:rsidRDefault="009F5D89" w:rsidP="009F5D89">
                  <w:pPr>
                    <w:jc w:val="center"/>
                    <w:rPr>
                      <w:rFonts w:ascii="Calibri" w:hAnsi="Calibri" w:cs="Arial"/>
                      <w:color w:val="002060"/>
                      <w:lang w:val="el-GR"/>
                    </w:rPr>
                  </w:pPr>
                  <w:r>
                    <w:rPr>
                      <w:rFonts w:ascii="Calibri" w:hAnsi="Calibri" w:cs="Arial"/>
                      <w:color w:val="002060"/>
                      <w:lang w:val="el-GR"/>
                    </w:rPr>
                    <w:t>26</w:t>
                  </w:r>
                </w:p>
              </w:tc>
            </w:tr>
            <w:tr w:rsidR="009F5D89" w:rsidRPr="0089594C" w14:paraId="45D91C25" w14:textId="77777777" w:rsidTr="007A7C95">
              <w:tc>
                <w:tcPr>
                  <w:tcW w:w="2467" w:type="dxa"/>
                  <w:shd w:val="clear" w:color="auto" w:fill="auto"/>
                </w:tcPr>
                <w:p w14:paraId="4C755005" w14:textId="7C4A6BEF" w:rsidR="009F5D89" w:rsidRPr="0089594C" w:rsidRDefault="00144E0A" w:rsidP="00641E98">
                  <w:pPr>
                    <w:rPr>
                      <w:rFonts w:ascii="Calibri" w:hAnsi="Calibri" w:cs="Arial"/>
                      <w:color w:val="365F91" w:themeColor="accent1" w:themeShade="BF"/>
                      <w:lang w:val="el-GR"/>
                    </w:rPr>
                  </w:pPr>
                  <w:r>
                    <w:rPr>
                      <w:rFonts w:ascii="Calibri" w:hAnsi="Calibri" w:cs="Arial"/>
                      <w:color w:val="365F91" w:themeColor="accent1" w:themeShade="BF"/>
                      <w:lang w:val="el-GR"/>
                    </w:rPr>
                    <w:t>Ατομική εργαστηριακή εργασία</w:t>
                  </w:r>
                  <w:r w:rsidR="009F5D89">
                    <w:rPr>
                      <w:rFonts w:ascii="Calibri" w:hAnsi="Calibri" w:cs="Arial"/>
                      <w:color w:val="365F91" w:themeColor="accent1" w:themeShade="BF"/>
                      <w:lang w:val="el-GR"/>
                    </w:rPr>
                    <w:t xml:space="preserve"> </w:t>
                  </w:r>
                </w:p>
              </w:tc>
              <w:tc>
                <w:tcPr>
                  <w:tcW w:w="2468" w:type="dxa"/>
                  <w:shd w:val="clear" w:color="auto" w:fill="auto"/>
                </w:tcPr>
                <w:p w14:paraId="4B8B9B7E" w14:textId="788B2025" w:rsidR="009F5D89" w:rsidRPr="0089594C" w:rsidRDefault="00641E98" w:rsidP="00EE458A">
                  <w:pPr>
                    <w:jc w:val="center"/>
                    <w:rPr>
                      <w:rFonts w:ascii="Calibri" w:hAnsi="Calibri" w:cs="Arial"/>
                      <w:color w:val="002060"/>
                      <w:lang w:val="el-GR"/>
                    </w:rPr>
                  </w:pPr>
                  <w:r>
                    <w:rPr>
                      <w:rFonts w:ascii="Calibri" w:hAnsi="Calibri" w:cs="Arial"/>
                      <w:color w:val="002060"/>
                      <w:lang w:val="el-GR"/>
                    </w:rPr>
                    <w:t>35</w:t>
                  </w:r>
                </w:p>
              </w:tc>
            </w:tr>
            <w:tr w:rsidR="009F5D89" w:rsidRPr="003B45BC" w14:paraId="39BDE165" w14:textId="77777777" w:rsidTr="007A7C95">
              <w:tc>
                <w:tcPr>
                  <w:tcW w:w="2467" w:type="dxa"/>
                  <w:shd w:val="clear" w:color="auto" w:fill="auto"/>
                </w:tcPr>
                <w:p w14:paraId="1D6D846D" w14:textId="3DCAFFBB" w:rsidR="009F5D89" w:rsidRPr="0060726A" w:rsidRDefault="00144E0A" w:rsidP="00144E0A">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Μη καθοδηγούμενη μ</w:t>
                  </w:r>
                  <w:r w:rsidR="009F5D89" w:rsidRPr="0060726A">
                    <w:rPr>
                      <w:rFonts w:ascii="Calibri" w:hAnsi="Calibri" w:cs="Arial"/>
                      <w:color w:val="365F91" w:themeColor="accent1" w:themeShade="BF"/>
                      <w:lang w:val="el-GR"/>
                    </w:rPr>
                    <w:t>ελέτη</w:t>
                  </w:r>
                </w:p>
              </w:tc>
              <w:tc>
                <w:tcPr>
                  <w:tcW w:w="2468" w:type="dxa"/>
                  <w:shd w:val="clear" w:color="auto" w:fill="auto"/>
                </w:tcPr>
                <w:p w14:paraId="0D7E1A26" w14:textId="4F4A1187" w:rsidR="009F5D89" w:rsidRPr="003B45BC" w:rsidRDefault="00641E98" w:rsidP="00EE458A">
                  <w:pPr>
                    <w:jc w:val="center"/>
                    <w:rPr>
                      <w:rFonts w:ascii="Calibri" w:hAnsi="Calibri" w:cs="Arial"/>
                      <w:color w:val="002060"/>
                      <w:lang w:val="el-GR"/>
                    </w:rPr>
                  </w:pPr>
                  <w:r>
                    <w:rPr>
                      <w:rFonts w:ascii="Calibri" w:hAnsi="Calibri" w:cs="Arial"/>
                      <w:color w:val="002060"/>
                      <w:lang w:val="el-GR"/>
                    </w:rPr>
                    <w:t>2</w:t>
                  </w:r>
                  <w:r w:rsidR="009F5D89">
                    <w:rPr>
                      <w:rFonts w:ascii="Calibri" w:hAnsi="Calibri" w:cs="Arial"/>
                      <w:color w:val="002060"/>
                      <w:lang w:val="el-GR"/>
                    </w:rPr>
                    <w:t>5</w:t>
                  </w:r>
                </w:p>
              </w:tc>
            </w:tr>
            <w:tr w:rsidR="009F5D89" w:rsidRPr="003B45BC" w14:paraId="54A8FB61" w14:textId="77777777" w:rsidTr="007A7C95">
              <w:tc>
                <w:tcPr>
                  <w:tcW w:w="2467" w:type="dxa"/>
                </w:tcPr>
                <w:p w14:paraId="007691E0" w14:textId="77777777" w:rsidR="009F5D89" w:rsidRDefault="009F5D89" w:rsidP="00BF2D69">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BF2D69" w:rsidRPr="0002727D" w:rsidRDefault="00BF2D69" w:rsidP="00BF2D69">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9F5D89" w:rsidRPr="003B45BC" w:rsidRDefault="009F5D89" w:rsidP="00EE458A">
                  <w:pPr>
                    <w:jc w:val="center"/>
                    <w:rPr>
                      <w:rFonts w:ascii="Calibri" w:hAnsi="Calibri" w:cs="Arial"/>
                      <w:b/>
                      <w:i/>
                      <w:color w:val="002060"/>
                      <w:lang w:val="el-GR"/>
                    </w:rPr>
                  </w:pPr>
                  <w:r>
                    <w:rPr>
                      <w:rFonts w:ascii="Calibri" w:hAnsi="Calibri" w:cs="Arial"/>
                      <w:b/>
                      <w:i/>
                      <w:color w:val="002060"/>
                      <w:lang w:val="el-GR"/>
                    </w:rPr>
                    <w:t>125</w:t>
                  </w:r>
                </w:p>
              </w:tc>
            </w:tr>
            <w:tr w:rsidR="009F5D89" w:rsidRPr="00050B81" w14:paraId="472CAD85" w14:textId="77777777" w:rsidTr="00907017">
              <w:tc>
                <w:tcPr>
                  <w:tcW w:w="2467" w:type="dxa"/>
                </w:tcPr>
                <w:p w14:paraId="0C55A6D1" w14:textId="0512820A" w:rsidR="009F5D89" w:rsidRPr="00CB1D99" w:rsidRDefault="009F5D89" w:rsidP="009F5D89">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9F5D89" w:rsidRPr="003B45BC" w:rsidRDefault="009F5D89" w:rsidP="009F5D89">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08BCCD37" w14:textId="2FC18D7D" w:rsidR="00BF2D69" w:rsidRPr="0060726A" w:rsidRDefault="00BF2D69" w:rsidP="00144E0A">
            <w:pPr>
              <w:spacing w:after="0"/>
              <w:rPr>
                <w:rFonts w:ascii="Calibri" w:hAnsi="Calibri" w:cs="Arial"/>
                <w:color w:val="365F91" w:themeColor="accent1" w:themeShade="BF"/>
              </w:rPr>
            </w:pPr>
            <w:r w:rsidRPr="000871E9">
              <w:rPr>
                <w:rFonts w:ascii="Calibri" w:hAnsi="Calibri" w:cs="Arial"/>
                <w:color w:val="365F91" w:themeColor="accent1" w:themeShade="BF"/>
              </w:rPr>
              <w:t xml:space="preserve">I. Η γλώσσα αξιολόγησης είναι η ελληνική </w:t>
            </w:r>
          </w:p>
          <w:p w14:paraId="68A67FCD"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II. Γραπτή τελική εξέταση στη θεωρία του μαθήματος που περιλαμβάνει:</w:t>
            </w:r>
          </w:p>
          <w:p w14:paraId="5681CC04"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1.</w:t>
            </w:r>
            <w:r w:rsidRPr="00144E0A">
              <w:rPr>
                <w:rFonts w:ascii="Calibri" w:hAnsi="Calibri" w:cs="Arial"/>
                <w:color w:val="365F91" w:themeColor="accent1" w:themeShade="BF"/>
              </w:rPr>
              <w:tab/>
              <w:t>Αξιολόγηση στοιχείων θεωρίας (100%)</w:t>
            </w:r>
          </w:p>
          <w:p w14:paraId="4C7C888C"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p>
          <w:p w14:paraId="608F4D8E"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ΙIΙ. Η εξέταση στο εργαστηριακό μέρος του μαθήματος διαμορφώνεται από:</w:t>
            </w:r>
          </w:p>
          <w:p w14:paraId="749F3399"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 xml:space="preserve">1. </w:t>
            </w:r>
            <w:proofErr w:type="spellStart"/>
            <w:r w:rsidRPr="00144E0A">
              <w:rPr>
                <w:rFonts w:ascii="Calibri" w:hAnsi="Calibri" w:cs="Arial"/>
                <w:color w:val="365F91" w:themeColor="accent1" w:themeShade="BF"/>
              </w:rPr>
              <w:t>Aξιολόγηση</w:t>
            </w:r>
            <w:proofErr w:type="spellEnd"/>
            <w:r w:rsidRPr="00144E0A">
              <w:rPr>
                <w:rFonts w:ascii="Calibri" w:hAnsi="Calibri" w:cs="Arial"/>
                <w:color w:val="365F91" w:themeColor="accent1" w:themeShade="BF"/>
              </w:rPr>
              <w:t xml:space="preserve"> των εργαστηριακών εργασιών (15%).</w:t>
            </w:r>
          </w:p>
          <w:p w14:paraId="1A8B6DD2"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2. Τελική προφορική εξέταση (85%).</w:t>
            </w:r>
          </w:p>
          <w:p w14:paraId="7200C0DE"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Τελική προφορική εξέταση στο εργαστηριακό μέρος του μαθήματος που περιλαμβάνει:</w:t>
            </w:r>
          </w:p>
          <w:p w14:paraId="21F3EB9A"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α) Ερωτήσεις σύντομης απάντησης</w:t>
            </w:r>
          </w:p>
          <w:p w14:paraId="31063EEA" w14:textId="25A23C9A" w:rsidR="00BF2D69" w:rsidRPr="00CB1D99" w:rsidRDefault="00144E0A" w:rsidP="00144E0A">
            <w:pPr>
              <w:rPr>
                <w:rFonts w:ascii="Calibri" w:hAnsi="Calibri" w:cs="Arial"/>
                <w:color w:val="365F91" w:themeColor="accent1" w:themeShade="BF"/>
              </w:rPr>
            </w:pPr>
            <w:r w:rsidRPr="00144E0A">
              <w:rPr>
                <w:rFonts w:ascii="Calibri" w:hAnsi="Calibri" w:cs="Arial"/>
                <w:color w:val="365F91" w:themeColor="accent1" w:themeShade="BF"/>
              </w:rPr>
              <w:t>β)  Αναγνώριση φυτικών δειγμάτων</w:t>
            </w: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BC6B33" w14:paraId="4CDC1728" w14:textId="77777777" w:rsidTr="00BF6D32">
        <w:tc>
          <w:tcPr>
            <w:tcW w:w="8472" w:type="dxa"/>
          </w:tcPr>
          <w:p w14:paraId="096F4C07" w14:textId="747F458F"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69D8BBC3" w14:textId="79C83E63" w:rsidR="008E6969" w:rsidRDefault="008E6969" w:rsidP="008E6969">
            <w:pPr>
              <w:spacing w:after="0" w:line="240" w:lineRule="auto"/>
              <w:jc w:val="both"/>
              <w:rPr>
                <w:rFonts w:ascii="Calibri" w:eastAsia="Times New Roman" w:hAnsi="Calibri" w:cs="Arial"/>
                <w:i/>
                <w:sz w:val="16"/>
                <w:szCs w:val="16"/>
              </w:rPr>
            </w:pPr>
          </w:p>
          <w:p w14:paraId="120E556D" w14:textId="2A4E657B" w:rsidR="008E6969" w:rsidRDefault="008E6969" w:rsidP="008E6969">
            <w:pPr>
              <w:spacing w:after="0" w:line="240" w:lineRule="auto"/>
              <w:jc w:val="both"/>
              <w:rPr>
                <w:rFonts w:ascii="Calibri" w:eastAsia="Times New Roman" w:hAnsi="Calibri" w:cs="Arial"/>
                <w:color w:val="365F91" w:themeColor="accent1" w:themeShade="BF"/>
                <w:sz w:val="20"/>
                <w:szCs w:val="20"/>
              </w:rPr>
            </w:pP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Μπιλάλης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Δ</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Θ.</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Παπαστυλιανού και Η.Σ. Τραυλός (2019). Γεωργία</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Φυτά</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μεγάλης καλλιέργειας. Εκδόσεις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Πεδίο.</w:t>
            </w:r>
          </w:p>
          <w:p w14:paraId="148990DD" w14:textId="77777777" w:rsidR="00144E0A" w:rsidRPr="00144E0A" w:rsidRDefault="008E6969"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00144E0A" w:rsidRPr="00144E0A">
              <w:rPr>
                <w:rFonts w:ascii="Calibri" w:eastAsia="Times New Roman" w:hAnsi="Calibri" w:cs="Arial"/>
                <w:color w:val="365F91" w:themeColor="accent1" w:themeShade="BF"/>
                <w:sz w:val="20"/>
                <w:szCs w:val="20"/>
              </w:rPr>
              <w:t>Δ.Παπακώστα</w:t>
            </w:r>
            <w:proofErr w:type="spellEnd"/>
            <w:r w:rsidR="00144E0A" w:rsidRPr="00144E0A">
              <w:rPr>
                <w:rFonts w:ascii="Calibri" w:eastAsia="Times New Roman" w:hAnsi="Calibri" w:cs="Arial"/>
                <w:color w:val="365F91" w:themeColor="accent1" w:themeShade="BF"/>
                <w:sz w:val="20"/>
                <w:szCs w:val="20"/>
              </w:rPr>
              <w:t xml:space="preserve"> -Τασοπούλου 2013. Βιομηχανικά φυτά. Εκδόσεις Σύγχρονη Παιδεία </w:t>
            </w:r>
            <w:proofErr w:type="spellStart"/>
            <w:r w:rsidR="00144E0A" w:rsidRPr="00144E0A">
              <w:rPr>
                <w:rFonts w:ascii="Calibri" w:eastAsia="Times New Roman" w:hAnsi="Calibri" w:cs="Arial"/>
                <w:color w:val="365F91" w:themeColor="accent1" w:themeShade="BF"/>
                <w:sz w:val="20"/>
                <w:szCs w:val="20"/>
              </w:rPr>
              <w:t>Θεσ</w:t>
            </w:r>
            <w:proofErr w:type="spellEnd"/>
            <w:r w:rsidR="00144E0A" w:rsidRPr="00144E0A">
              <w:rPr>
                <w:rFonts w:ascii="Calibri" w:eastAsia="Times New Roman" w:hAnsi="Calibri" w:cs="Arial"/>
                <w:color w:val="365F91" w:themeColor="accent1" w:themeShade="BF"/>
                <w:sz w:val="20"/>
                <w:szCs w:val="20"/>
              </w:rPr>
              <w:t>/νίκη</w:t>
            </w:r>
          </w:p>
          <w:p w14:paraId="1D060203" w14:textId="4BB78BE1" w:rsidR="008E6969" w:rsidRPr="00144E0A" w:rsidRDefault="00144E0A" w:rsidP="00144E0A">
            <w:pPr>
              <w:spacing w:after="0" w:line="240" w:lineRule="auto"/>
              <w:jc w:val="both"/>
              <w:rPr>
                <w:rFonts w:ascii="Calibri" w:eastAsia="Times New Roman" w:hAnsi="Calibri" w:cs="Arial"/>
                <w:i/>
                <w:sz w:val="16"/>
                <w:szCs w:val="16"/>
              </w:rPr>
            </w:pPr>
            <w:r>
              <w:rPr>
                <w:rFonts w:ascii="Calibri" w:eastAsia="Times New Roman" w:hAnsi="Calibri" w:cs="Arial"/>
                <w:color w:val="365F91" w:themeColor="accent1" w:themeShade="BF"/>
                <w:sz w:val="20"/>
                <w:szCs w:val="20"/>
              </w:rPr>
              <w:t xml:space="preserve">- </w:t>
            </w:r>
            <w:r w:rsidRPr="00144E0A">
              <w:rPr>
                <w:rFonts w:ascii="Calibri" w:eastAsia="Times New Roman" w:hAnsi="Calibri" w:cs="Arial"/>
                <w:color w:val="365F91" w:themeColor="accent1" w:themeShade="BF"/>
                <w:sz w:val="20"/>
                <w:szCs w:val="20"/>
              </w:rPr>
              <w:t>Σ. Γαλανοπούλου -</w:t>
            </w:r>
            <w:proofErr w:type="spellStart"/>
            <w:r w:rsidRPr="00144E0A">
              <w:rPr>
                <w:rFonts w:ascii="Calibri" w:eastAsia="Times New Roman" w:hAnsi="Calibri" w:cs="Arial"/>
                <w:color w:val="365F91" w:themeColor="accent1" w:themeShade="BF"/>
                <w:sz w:val="20"/>
                <w:szCs w:val="20"/>
              </w:rPr>
              <w:t>Σενδούκα</w:t>
            </w:r>
            <w:proofErr w:type="spellEnd"/>
            <w:r w:rsidRPr="00144E0A">
              <w:rPr>
                <w:rFonts w:ascii="Calibri" w:eastAsia="Times New Roman" w:hAnsi="Calibri" w:cs="Arial"/>
                <w:color w:val="365F91" w:themeColor="accent1" w:themeShade="BF"/>
                <w:sz w:val="20"/>
                <w:szCs w:val="20"/>
              </w:rPr>
              <w:t xml:space="preserve"> 2002. Βιομηχανικά φυτά. Εκδόσεις Σταμούλης.</w:t>
            </w:r>
          </w:p>
          <w:p w14:paraId="7120A3E8" w14:textId="40F92B42" w:rsidR="00641E98" w:rsidRPr="00144E0A" w:rsidRDefault="00641E98" w:rsidP="00050B81">
            <w:pPr>
              <w:spacing w:after="0" w:line="240" w:lineRule="auto"/>
              <w:jc w:val="both"/>
              <w:rPr>
                <w:rFonts w:ascii="Calibri" w:eastAsia="Times New Roman" w:hAnsi="Calibri" w:cs="Arial"/>
                <w:i/>
                <w:sz w:val="16"/>
                <w:szCs w:val="16"/>
              </w:rPr>
            </w:pPr>
          </w:p>
          <w:p w14:paraId="0DC4646A" w14:textId="77777777" w:rsidR="00050B81" w:rsidRPr="00144E0A" w:rsidRDefault="00050B81" w:rsidP="00050B81">
            <w:pPr>
              <w:spacing w:after="0" w:line="240" w:lineRule="auto"/>
              <w:jc w:val="both"/>
              <w:rPr>
                <w:rFonts w:ascii="Calibri" w:eastAsia="Times New Roman" w:hAnsi="Calibri" w:cs="Arial"/>
                <w:i/>
                <w:sz w:val="16"/>
                <w:szCs w:val="16"/>
              </w:rPr>
            </w:pPr>
            <w:r w:rsidRPr="00144E0A">
              <w:rPr>
                <w:rFonts w:ascii="Calibri" w:eastAsia="Times New Roman" w:hAnsi="Calibri" w:cs="Arial"/>
                <w:i/>
                <w:sz w:val="16"/>
                <w:szCs w:val="16"/>
              </w:rPr>
              <w:lastRenderedPageBreak/>
              <w:t>-</w:t>
            </w:r>
            <w:r w:rsidRPr="00050B81">
              <w:rPr>
                <w:rFonts w:ascii="Calibri" w:eastAsia="Times New Roman" w:hAnsi="Calibri" w:cs="Arial"/>
                <w:i/>
                <w:sz w:val="16"/>
                <w:szCs w:val="16"/>
              </w:rPr>
              <w:t>Συναφή</w:t>
            </w:r>
            <w:r w:rsidRPr="00144E0A">
              <w:rPr>
                <w:rFonts w:ascii="Calibri" w:eastAsia="Times New Roman" w:hAnsi="Calibri" w:cs="Arial"/>
                <w:i/>
                <w:sz w:val="16"/>
                <w:szCs w:val="16"/>
              </w:rPr>
              <w:t xml:space="preserve"> </w:t>
            </w:r>
            <w:r w:rsidRPr="00050B81">
              <w:rPr>
                <w:rFonts w:ascii="Calibri" w:eastAsia="Times New Roman" w:hAnsi="Calibri" w:cs="Arial"/>
                <w:i/>
                <w:sz w:val="16"/>
                <w:szCs w:val="16"/>
              </w:rPr>
              <w:t>επιστημονικά</w:t>
            </w:r>
            <w:r w:rsidRPr="00144E0A">
              <w:rPr>
                <w:rFonts w:ascii="Calibri" w:eastAsia="Times New Roman" w:hAnsi="Calibri" w:cs="Arial"/>
                <w:i/>
                <w:sz w:val="16"/>
                <w:szCs w:val="16"/>
              </w:rPr>
              <w:t xml:space="preserve"> </w:t>
            </w:r>
            <w:r w:rsidRPr="00050B81">
              <w:rPr>
                <w:rFonts w:ascii="Calibri" w:eastAsia="Times New Roman" w:hAnsi="Calibri" w:cs="Arial"/>
                <w:i/>
                <w:sz w:val="16"/>
                <w:szCs w:val="16"/>
              </w:rPr>
              <w:t>περιοδικά</w:t>
            </w:r>
            <w:r w:rsidRPr="00144E0A">
              <w:rPr>
                <w:rFonts w:ascii="Calibri" w:eastAsia="Times New Roman" w:hAnsi="Calibri" w:cs="Arial"/>
                <w:i/>
                <w:sz w:val="16"/>
                <w:szCs w:val="16"/>
              </w:rPr>
              <w:t>:</w:t>
            </w:r>
          </w:p>
          <w:p w14:paraId="4027AB1C" w14:textId="75FE46C9" w:rsidR="00641E98" w:rsidRPr="009C6744" w:rsidRDefault="00641E98" w:rsidP="00641E98">
            <w:pPr>
              <w:pStyle w:val="ListParagraph"/>
              <w:spacing w:after="0" w:line="240" w:lineRule="auto"/>
              <w:ind w:left="168"/>
              <w:jc w:val="both"/>
              <w:rPr>
                <w:rFonts w:ascii="Calibri" w:eastAsia="Times New Roman" w:hAnsi="Calibri" w:cs="Arial"/>
                <w:color w:val="365F91" w:themeColor="accent1" w:themeShade="BF"/>
                <w:sz w:val="20"/>
                <w:szCs w:val="20"/>
                <w:lang w:val="en-US"/>
              </w:rPr>
            </w:pPr>
            <w:r w:rsidRPr="00BC6B33">
              <w:rPr>
                <w:rFonts w:ascii="Calibri" w:eastAsia="Times New Roman" w:hAnsi="Calibri" w:cs="Arial"/>
                <w:color w:val="365F91" w:themeColor="accent1" w:themeShade="BF"/>
                <w:sz w:val="20"/>
                <w:szCs w:val="20"/>
                <w:lang w:val="en-US"/>
              </w:rPr>
              <w:t>-</w:t>
            </w:r>
            <w:r w:rsidRPr="008E6969">
              <w:rPr>
                <w:rFonts w:ascii="Calibri" w:eastAsia="Times New Roman" w:hAnsi="Calibri" w:cs="Arial"/>
                <w:color w:val="365F91" w:themeColor="accent1" w:themeShade="BF"/>
                <w:sz w:val="20"/>
                <w:szCs w:val="20"/>
              </w:rPr>
              <w:t>Συναφή</w:t>
            </w:r>
            <w:r w:rsidRPr="00BC6B33">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επιστημονικά</w:t>
            </w:r>
            <w:r w:rsidRPr="00BC6B33">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περιοδικά</w:t>
            </w:r>
            <w:r w:rsidRPr="00BC6B33">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r w:rsidRPr="00BC6B33">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Journal</w:t>
            </w:r>
            <w:r w:rsidRPr="00BC6B33">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Crop</w:t>
            </w:r>
            <w:r w:rsidRPr="00BC6B33">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Science</w:t>
            </w:r>
            <w:r w:rsidRPr="00BC6B33">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Advances</w:t>
            </w:r>
            <w:r w:rsidRPr="00BC6B33">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in</w:t>
            </w:r>
            <w:r w:rsidRPr="009C6744">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p>
        </w:tc>
      </w:tr>
    </w:tbl>
    <w:p w14:paraId="32712609" w14:textId="77777777" w:rsidR="00050B81" w:rsidRPr="009C6744" w:rsidRDefault="00050B81" w:rsidP="00050B81">
      <w:pPr>
        <w:spacing w:after="0" w:line="240" w:lineRule="auto"/>
        <w:rPr>
          <w:rFonts w:ascii="Times New Roman" w:eastAsia="Times New Roman" w:hAnsi="Times New Roman" w:cs="Times New Roman"/>
          <w:sz w:val="24"/>
          <w:szCs w:val="24"/>
          <w:lang w:val="en-US"/>
        </w:rPr>
      </w:pPr>
    </w:p>
    <w:p w14:paraId="39CCEC34" w14:textId="77777777" w:rsidR="00BF1382" w:rsidRPr="00355144" w:rsidRDefault="00BF1382" w:rsidP="00BF1382">
      <w:pPr>
        <w:pStyle w:val="ListParagraph"/>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7547FD17" w14:textId="77777777" w:rsidR="00144E0A" w:rsidRPr="00144E0A" w:rsidRDefault="00144E0A" w:rsidP="007A7C95">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 xml:space="preserve">Γ. ΟΙΚΟΝΟΜΟΥ, ΚΑΘΗΓΗΤΡΙΑ ΓΕΩΡΓΙΑΣ </w:t>
            </w:r>
          </w:p>
          <w:p w14:paraId="6FA63E87" w14:textId="4A0D24C2" w:rsidR="00BF1382" w:rsidRPr="00144E0A" w:rsidRDefault="00641E98" w:rsidP="007A7C95">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Η. ΤΡΑΥΛΟΣ, ΕΠΙΚ. ΚΑΘΗΓΗΤΗΣ ΓΕΩΡΓΙΑΣ-ΖΙΖΑΝΙΟΛΟΓΙΑΣ</w:t>
            </w:r>
          </w:p>
          <w:p w14:paraId="6459C29B" w14:textId="1FD8F544" w:rsidR="00144E0A" w:rsidRPr="00355144" w:rsidRDefault="00144E0A" w:rsidP="00144E0A">
            <w:pPr>
              <w:pStyle w:val="ListParagraph"/>
              <w:spacing w:after="0" w:line="240" w:lineRule="auto"/>
              <w:ind w:left="360"/>
              <w:jc w:val="both"/>
              <w:rPr>
                <w:rFonts w:ascii="Calibri" w:eastAsia="Times New Roman" w:hAnsi="Calibri" w:cs="Arial"/>
                <w:b/>
                <w:sz w:val="20"/>
                <w:szCs w:val="20"/>
              </w:rPr>
            </w:pPr>
          </w:p>
        </w:tc>
      </w:tr>
    </w:tbl>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12E0"/>
    <w:multiLevelType w:val="hybridMultilevel"/>
    <w:tmpl w:val="68C028E4"/>
    <w:lvl w:ilvl="0" w:tplc="C19E7330">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AFC1BA2"/>
    <w:multiLevelType w:val="hybridMultilevel"/>
    <w:tmpl w:val="BDB2C75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2AEE"/>
    <w:rsid w:val="00020D2D"/>
    <w:rsid w:val="000211F2"/>
    <w:rsid w:val="0004712D"/>
    <w:rsid w:val="00050B81"/>
    <w:rsid w:val="00144E0A"/>
    <w:rsid w:val="001A3F9B"/>
    <w:rsid w:val="001D341B"/>
    <w:rsid w:val="00221B5D"/>
    <w:rsid w:val="002637A1"/>
    <w:rsid w:val="003056D3"/>
    <w:rsid w:val="003269F4"/>
    <w:rsid w:val="003B2099"/>
    <w:rsid w:val="003B45BC"/>
    <w:rsid w:val="003D3E0B"/>
    <w:rsid w:val="004271D6"/>
    <w:rsid w:val="00445B7D"/>
    <w:rsid w:val="004630BA"/>
    <w:rsid w:val="004703F4"/>
    <w:rsid w:val="00470505"/>
    <w:rsid w:val="00472987"/>
    <w:rsid w:val="004D49B1"/>
    <w:rsid w:val="00570308"/>
    <w:rsid w:val="00641E98"/>
    <w:rsid w:val="006445C0"/>
    <w:rsid w:val="0066468A"/>
    <w:rsid w:val="006C33BD"/>
    <w:rsid w:val="00726337"/>
    <w:rsid w:val="007A7C95"/>
    <w:rsid w:val="007D31A3"/>
    <w:rsid w:val="007E0455"/>
    <w:rsid w:val="008343A9"/>
    <w:rsid w:val="00852C5A"/>
    <w:rsid w:val="00866FA5"/>
    <w:rsid w:val="008C2DF5"/>
    <w:rsid w:val="008E6969"/>
    <w:rsid w:val="00907017"/>
    <w:rsid w:val="00974C95"/>
    <w:rsid w:val="009C6744"/>
    <w:rsid w:val="009D3178"/>
    <w:rsid w:val="009F1117"/>
    <w:rsid w:val="009F5D89"/>
    <w:rsid w:val="00A45BD0"/>
    <w:rsid w:val="00AA5D0E"/>
    <w:rsid w:val="00B13688"/>
    <w:rsid w:val="00B25922"/>
    <w:rsid w:val="00B66EDB"/>
    <w:rsid w:val="00BA7F0C"/>
    <w:rsid w:val="00BC6B33"/>
    <w:rsid w:val="00BE293A"/>
    <w:rsid w:val="00BF1382"/>
    <w:rsid w:val="00BF2D69"/>
    <w:rsid w:val="00C048E5"/>
    <w:rsid w:val="00C6714B"/>
    <w:rsid w:val="00CB1D99"/>
    <w:rsid w:val="00CD6C56"/>
    <w:rsid w:val="00D26AA0"/>
    <w:rsid w:val="00D51B6F"/>
    <w:rsid w:val="00D759FE"/>
    <w:rsid w:val="00D91595"/>
    <w:rsid w:val="00E26881"/>
    <w:rsid w:val="00E810F6"/>
    <w:rsid w:val="00F26BCB"/>
    <w:rsid w:val="00F360AE"/>
    <w:rsid w:val="00F47509"/>
    <w:rsid w:val="00F645E3"/>
    <w:rsid w:val="00F81777"/>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7E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55"/>
    <w:rPr>
      <w:rFonts w:ascii="Segoe UI" w:hAnsi="Segoe UI" w:cs="Segoe UI"/>
      <w:sz w:val="18"/>
      <w:szCs w:val="18"/>
    </w:rPr>
  </w:style>
  <w:style w:type="character" w:styleId="CommentReference">
    <w:name w:val="annotation reference"/>
    <w:basedOn w:val="DefaultParagraphFont"/>
    <w:uiPriority w:val="99"/>
    <w:semiHidden/>
    <w:unhideWhenUsed/>
    <w:rsid w:val="004703F4"/>
    <w:rPr>
      <w:sz w:val="16"/>
      <w:szCs w:val="16"/>
    </w:rPr>
  </w:style>
  <w:style w:type="paragraph" w:styleId="CommentText">
    <w:name w:val="annotation text"/>
    <w:basedOn w:val="Normal"/>
    <w:link w:val="CommentTextChar"/>
    <w:uiPriority w:val="99"/>
    <w:semiHidden/>
    <w:unhideWhenUsed/>
    <w:rsid w:val="004703F4"/>
    <w:pPr>
      <w:spacing w:line="240" w:lineRule="auto"/>
    </w:pPr>
    <w:rPr>
      <w:sz w:val="20"/>
      <w:szCs w:val="20"/>
    </w:rPr>
  </w:style>
  <w:style w:type="character" w:customStyle="1" w:styleId="CommentTextChar">
    <w:name w:val="Comment Text Char"/>
    <w:basedOn w:val="DefaultParagraphFont"/>
    <w:link w:val="CommentText"/>
    <w:uiPriority w:val="99"/>
    <w:semiHidden/>
    <w:rsid w:val="004703F4"/>
    <w:rPr>
      <w:sz w:val="20"/>
      <w:szCs w:val="20"/>
    </w:rPr>
  </w:style>
  <w:style w:type="paragraph" w:styleId="CommentSubject">
    <w:name w:val="annotation subject"/>
    <w:basedOn w:val="CommentText"/>
    <w:next w:val="CommentText"/>
    <w:link w:val="CommentSubjectChar"/>
    <w:uiPriority w:val="99"/>
    <w:semiHidden/>
    <w:unhideWhenUsed/>
    <w:rsid w:val="004703F4"/>
    <w:rPr>
      <w:b/>
      <w:bCs/>
    </w:rPr>
  </w:style>
  <w:style w:type="character" w:customStyle="1" w:styleId="CommentSubjectChar">
    <w:name w:val="Comment Subject Char"/>
    <w:basedOn w:val="CommentTextChar"/>
    <w:link w:val="CommentSubject"/>
    <w:uiPriority w:val="99"/>
    <w:semiHidden/>
    <w:rsid w:val="004703F4"/>
    <w:rPr>
      <w:b/>
      <w:bCs/>
      <w:sz w:val="20"/>
      <w:szCs w:val="20"/>
    </w:rPr>
  </w:style>
  <w:style w:type="paragraph" w:styleId="Revision">
    <w:name w:val="Revision"/>
    <w:hidden/>
    <w:uiPriority w:val="99"/>
    <w:semiHidden/>
    <w:rsid w:val="007A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Travlos</dc:creator>
  <cp:lastModifiedBy>Ilias Travlos</cp:lastModifiedBy>
  <cp:revision>4</cp:revision>
  <cp:lastPrinted>2019-09-16T09:38:00Z</cp:lastPrinted>
  <dcterms:created xsi:type="dcterms:W3CDTF">2019-09-16T14:17:00Z</dcterms:created>
  <dcterms:modified xsi:type="dcterms:W3CDTF">2019-09-18T06:05:00Z</dcterms:modified>
</cp:coreProperties>
</file>